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A1" w:rsidRPr="008F23A8" w:rsidRDefault="001C33A1" w:rsidP="001C33A1">
      <w:pPr>
        <w:jc w:val="both"/>
        <w:rPr>
          <w:b/>
          <w:bCs/>
          <w:szCs w:val="24"/>
        </w:rPr>
      </w:pPr>
      <w:r w:rsidRPr="008F23A8">
        <w:rPr>
          <w:b/>
          <w:bCs/>
          <w:szCs w:val="24"/>
        </w:rPr>
        <w:t>РЕПУБЛИКА СРБИЈА</w:t>
      </w:r>
    </w:p>
    <w:p w:rsidR="001C33A1" w:rsidRPr="008F23A8" w:rsidRDefault="001C33A1" w:rsidP="001C33A1">
      <w:pPr>
        <w:jc w:val="both"/>
        <w:rPr>
          <w:b/>
          <w:bCs/>
          <w:szCs w:val="24"/>
        </w:rPr>
      </w:pPr>
      <w:r w:rsidRPr="008F23A8">
        <w:rPr>
          <w:b/>
          <w:bCs/>
          <w:szCs w:val="24"/>
        </w:rPr>
        <w:t>ОПШТИНА ЧАЈЕТИНА</w:t>
      </w:r>
    </w:p>
    <w:p w:rsidR="004C2802" w:rsidRPr="008F23A8" w:rsidRDefault="004C2802" w:rsidP="001C33A1">
      <w:pPr>
        <w:jc w:val="both"/>
        <w:rPr>
          <w:b/>
          <w:bCs/>
          <w:szCs w:val="24"/>
        </w:rPr>
      </w:pPr>
      <w:r w:rsidRPr="008F23A8">
        <w:rPr>
          <w:b/>
          <w:bCs/>
          <w:szCs w:val="24"/>
        </w:rPr>
        <w:t>Општинска управа</w:t>
      </w:r>
    </w:p>
    <w:p w:rsidR="001C33A1" w:rsidRPr="008F23A8" w:rsidRDefault="001C33A1" w:rsidP="001C33A1">
      <w:pPr>
        <w:jc w:val="both"/>
        <w:rPr>
          <w:b/>
          <w:bCs/>
          <w:szCs w:val="24"/>
        </w:rPr>
      </w:pPr>
      <w:r w:rsidRPr="008F23A8">
        <w:rPr>
          <w:b/>
          <w:bCs/>
          <w:szCs w:val="24"/>
        </w:rPr>
        <w:t>Број:</w:t>
      </w:r>
      <w:r w:rsidR="00A677E6" w:rsidRPr="008F23A8">
        <w:rPr>
          <w:b/>
          <w:bCs/>
          <w:szCs w:val="24"/>
        </w:rPr>
        <w:t xml:space="preserve"> </w:t>
      </w:r>
      <w:r w:rsidR="00F625F5" w:rsidRPr="008F23A8">
        <w:rPr>
          <w:b/>
          <w:bCs/>
          <w:szCs w:val="24"/>
        </w:rPr>
        <w:t>404-</w:t>
      </w:r>
      <w:r w:rsidR="00A95295">
        <w:rPr>
          <w:b/>
          <w:bCs/>
          <w:szCs w:val="24"/>
        </w:rPr>
        <w:t>5</w:t>
      </w:r>
      <w:r w:rsidR="00F465F3">
        <w:rPr>
          <w:b/>
          <w:bCs/>
          <w:szCs w:val="24"/>
          <w:lang w:val="sr-Cyrl-CS"/>
        </w:rPr>
        <w:t>/</w:t>
      </w:r>
      <w:r w:rsidR="00F465F3">
        <w:rPr>
          <w:b/>
          <w:bCs/>
          <w:szCs w:val="24"/>
        </w:rPr>
        <w:t>20</w:t>
      </w:r>
      <w:r w:rsidR="004C2802" w:rsidRPr="008F23A8">
        <w:rPr>
          <w:b/>
          <w:bCs/>
          <w:szCs w:val="24"/>
          <w:lang w:val="sr-Cyrl-CS"/>
        </w:rPr>
        <w:t>-02</w:t>
      </w:r>
    </w:p>
    <w:p w:rsidR="001C33A1" w:rsidRPr="008F23A8" w:rsidRDefault="001C33A1" w:rsidP="001C33A1">
      <w:pPr>
        <w:jc w:val="both"/>
        <w:rPr>
          <w:b/>
          <w:bCs/>
          <w:szCs w:val="24"/>
        </w:rPr>
      </w:pPr>
      <w:r w:rsidRPr="008F23A8">
        <w:rPr>
          <w:b/>
          <w:bCs/>
          <w:szCs w:val="24"/>
        </w:rPr>
        <w:t>Дана</w:t>
      </w:r>
      <w:r w:rsidR="0073674B">
        <w:rPr>
          <w:b/>
          <w:bCs/>
          <w:szCs w:val="24"/>
        </w:rPr>
        <w:t xml:space="preserve">: </w:t>
      </w:r>
      <w:r w:rsidR="00D31DB0">
        <w:rPr>
          <w:b/>
          <w:bCs/>
          <w:szCs w:val="24"/>
        </w:rPr>
        <w:t>05</w:t>
      </w:r>
      <w:r w:rsidR="00A95295">
        <w:rPr>
          <w:b/>
          <w:bCs/>
          <w:szCs w:val="24"/>
        </w:rPr>
        <w:t>.03</w:t>
      </w:r>
      <w:r w:rsidR="00F465F3">
        <w:rPr>
          <w:b/>
          <w:bCs/>
          <w:szCs w:val="24"/>
        </w:rPr>
        <w:t>.2020</w:t>
      </w:r>
      <w:r w:rsidRPr="008F23A8">
        <w:rPr>
          <w:b/>
          <w:bCs/>
          <w:szCs w:val="24"/>
          <w:lang w:val="sr-Cyrl-CS"/>
        </w:rPr>
        <w:t>.</w:t>
      </w:r>
      <w:r w:rsidR="00527DF3" w:rsidRPr="008F23A8">
        <w:rPr>
          <w:b/>
          <w:bCs/>
          <w:szCs w:val="24"/>
          <w:lang w:val="sr-Cyrl-CS"/>
        </w:rPr>
        <w:t xml:space="preserve"> </w:t>
      </w:r>
      <w:r w:rsidRPr="008F23A8">
        <w:rPr>
          <w:b/>
          <w:bCs/>
          <w:szCs w:val="24"/>
        </w:rPr>
        <w:t>године</w:t>
      </w:r>
    </w:p>
    <w:p w:rsidR="001C33A1" w:rsidRPr="008F23A8" w:rsidRDefault="001C33A1" w:rsidP="001C33A1">
      <w:pPr>
        <w:jc w:val="both"/>
        <w:rPr>
          <w:b/>
          <w:bCs/>
          <w:szCs w:val="24"/>
        </w:rPr>
      </w:pPr>
      <w:r w:rsidRPr="008F23A8">
        <w:rPr>
          <w:b/>
          <w:bCs/>
          <w:szCs w:val="24"/>
        </w:rPr>
        <w:t xml:space="preserve">Ч а ј е т и н а </w:t>
      </w:r>
    </w:p>
    <w:p w:rsidR="001C33A1" w:rsidRPr="008F23A8" w:rsidRDefault="001C33A1" w:rsidP="001C33A1">
      <w:pPr>
        <w:jc w:val="both"/>
        <w:rPr>
          <w:b/>
          <w:bCs/>
          <w:szCs w:val="24"/>
        </w:rPr>
      </w:pPr>
    </w:p>
    <w:p w:rsidR="001C33A1" w:rsidRPr="008F23A8" w:rsidRDefault="001C33A1" w:rsidP="001C33A1">
      <w:pPr>
        <w:jc w:val="both"/>
        <w:rPr>
          <w:b/>
          <w:bCs/>
          <w:szCs w:val="24"/>
        </w:rPr>
      </w:pPr>
    </w:p>
    <w:p w:rsidR="006511B9" w:rsidRPr="008F23A8" w:rsidRDefault="006511B9" w:rsidP="001C33A1">
      <w:pPr>
        <w:jc w:val="both"/>
        <w:rPr>
          <w:b/>
          <w:bCs/>
          <w:szCs w:val="24"/>
        </w:rPr>
      </w:pPr>
    </w:p>
    <w:p w:rsidR="00A95295" w:rsidRPr="00A95295" w:rsidRDefault="00A95295" w:rsidP="00A95295">
      <w:pPr>
        <w:jc w:val="both"/>
        <w:rPr>
          <w:rFonts w:cs="Tahoma"/>
          <w:b/>
        </w:rPr>
      </w:pPr>
      <w:r w:rsidRPr="00A95295">
        <w:rPr>
          <w:b/>
          <w:szCs w:val="24"/>
        </w:rPr>
        <w:t>Питања и одговори за ЈНMВ 07</w:t>
      </w:r>
      <w:r w:rsidR="00F465F3" w:rsidRPr="00A95295">
        <w:rPr>
          <w:b/>
          <w:szCs w:val="24"/>
        </w:rPr>
        <w:t xml:space="preserve">/20 </w:t>
      </w:r>
      <w:r w:rsidRPr="00A95295">
        <w:rPr>
          <w:rFonts w:cs="Tahoma"/>
          <w:b/>
        </w:rPr>
        <w:t>Технички преглед објекта гондоле</w:t>
      </w:r>
    </w:p>
    <w:p w:rsidR="0039784D" w:rsidRDefault="0039784D" w:rsidP="001C33A1">
      <w:pPr>
        <w:jc w:val="both"/>
        <w:rPr>
          <w:szCs w:val="24"/>
        </w:rPr>
      </w:pPr>
    </w:p>
    <w:p w:rsidR="0039784D" w:rsidRDefault="0039784D" w:rsidP="001C33A1">
      <w:pPr>
        <w:jc w:val="both"/>
        <w:rPr>
          <w:szCs w:val="24"/>
        </w:rPr>
      </w:pPr>
    </w:p>
    <w:p w:rsidR="00D31DB0" w:rsidRPr="000E35E6" w:rsidRDefault="00D31DB0" w:rsidP="00D31DB0">
      <w:pPr>
        <w:widowControl/>
        <w:suppressAutoHyphens w:val="0"/>
        <w:spacing w:after="160" w:line="259" w:lineRule="auto"/>
        <w:jc w:val="both"/>
        <w:rPr>
          <w:szCs w:val="24"/>
          <w:lang w:val="sr-Cyrl-CS"/>
        </w:rPr>
      </w:pPr>
      <w:r>
        <w:rPr>
          <w:szCs w:val="24"/>
        </w:rPr>
        <w:t xml:space="preserve">Питање 1. </w:t>
      </w:r>
      <w:r w:rsidRPr="00D31DB0">
        <w:rPr>
          <w:szCs w:val="24"/>
        </w:rPr>
        <w:t>Зашто се тендерском документацијом захтева као обавезан услов да понуђач има важећу лиценцу  П091А1 иако правилником о техничком прегледу објеката такав услов није обавезан нити се захтева? Тражена лиценца је услов за пројектовање, а не за изб</w:t>
      </w:r>
      <w:r w:rsidR="000E35E6">
        <w:rPr>
          <w:szCs w:val="24"/>
        </w:rPr>
        <w:t xml:space="preserve">ор комисије за технички преглед </w:t>
      </w:r>
      <w:r w:rsidR="000E35E6">
        <w:rPr>
          <w:szCs w:val="24"/>
          <w:lang w:val="sr-Cyrl-CS"/>
        </w:rPr>
        <w:t>објеката.</w:t>
      </w:r>
    </w:p>
    <w:p w:rsidR="00D31DB0" w:rsidRDefault="00D31DB0" w:rsidP="00D31DB0">
      <w:pPr>
        <w:rPr>
          <w:szCs w:val="24"/>
        </w:rPr>
      </w:pPr>
      <w:r>
        <w:rPr>
          <w:szCs w:val="24"/>
        </w:rPr>
        <w:t xml:space="preserve">Одоговор 1: </w:t>
      </w:r>
    </w:p>
    <w:p w:rsidR="00D31DB0" w:rsidRPr="0002493D" w:rsidRDefault="00D31DB0" w:rsidP="00D31DB0">
      <w:pPr>
        <w:rPr>
          <w:szCs w:val="24"/>
        </w:rPr>
      </w:pPr>
    </w:p>
    <w:p w:rsidR="00D31DB0" w:rsidRPr="006C4187" w:rsidRDefault="00D31DB0" w:rsidP="00D31DB0">
      <w:pPr>
        <w:jc w:val="both"/>
        <w:rPr>
          <w:szCs w:val="24"/>
        </w:rPr>
      </w:pPr>
      <w:r w:rsidRPr="006C4187">
        <w:rPr>
          <w:szCs w:val="24"/>
        </w:rPr>
        <w:t xml:space="preserve">Пружалац услуге је у обавези да образује комисију за технички преглед и услугу врши у складу са: Законом о планирању и изградњи (чланови 154-156.) и Правилником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објекта (Сл. Гласник РС, бр. 27/2015, 29/2016 и 78/2019) као и свим правилницима и подзаконским актима који се односе на предметну услугу. </w:t>
      </w:r>
    </w:p>
    <w:p w:rsidR="00D31DB0" w:rsidRDefault="00D31DB0" w:rsidP="00D31DB0">
      <w:pPr>
        <w:jc w:val="both"/>
        <w:rPr>
          <w:szCs w:val="24"/>
        </w:rPr>
      </w:pPr>
      <w:r w:rsidRPr="006C4187">
        <w:rPr>
          <w:szCs w:val="24"/>
        </w:rPr>
        <w:t>Технички преглед који је предмет ове набавке обухвата проверу потпуности техничке и друге документације за изградњу објекта и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материјала, опреме и инсталација</w:t>
      </w:r>
      <w:r>
        <w:rPr>
          <w:szCs w:val="24"/>
        </w:rPr>
        <w:t>, све у складу са чл. 4 наведеног Правилника.</w:t>
      </w:r>
    </w:p>
    <w:p w:rsidR="00D31DB0" w:rsidRDefault="00D31DB0" w:rsidP="00D31DB0">
      <w:pPr>
        <w:jc w:val="both"/>
        <w:rPr>
          <w:szCs w:val="24"/>
        </w:rPr>
      </w:pPr>
      <w:r>
        <w:rPr>
          <w:szCs w:val="24"/>
        </w:rPr>
        <w:t>Чл. 17 наведеног Правилника, прописано је да су Чланови Комисије лица која имају лиценце које одговарају областима делова пројеката који, у зависности од класе и намене објекта који је предмет техничког прегледа, заједно чине пројекат за извођење, односно идејни пројекат уколико је за објекат или за извођење радова издато решење из чл. 145 Закона, односно пројекат изведеног објекта.</w:t>
      </w:r>
    </w:p>
    <w:p w:rsidR="00D31DB0" w:rsidRDefault="00D31DB0" w:rsidP="00D31DB0">
      <w:pPr>
        <w:jc w:val="both"/>
        <w:rPr>
          <w:szCs w:val="24"/>
        </w:rPr>
      </w:pPr>
      <w:r>
        <w:rPr>
          <w:szCs w:val="24"/>
        </w:rPr>
        <w:t>Полазећи од наведене одредбе, односно</w:t>
      </w:r>
      <w:bookmarkStart w:id="0" w:name="_GoBack"/>
      <w:bookmarkEnd w:id="0"/>
      <w:r>
        <w:rPr>
          <w:szCs w:val="24"/>
        </w:rPr>
        <w:t>да чланови комисије морају имати лиценце које су захтеване и за пројектовање, постављен је услов да пружалац услуге – привредно друштво односно друго правно лице,коме наручилац поверава вршење техничког прегледа, мора имати лиценцу П091А1 која се захтева за израду техничке документације за објекте за које грађевинску дозволу издаје Министарство.</w:t>
      </w:r>
      <w:r w:rsidRPr="00BB795A">
        <w:rPr>
          <w:szCs w:val="24"/>
        </w:rPr>
        <w:t xml:space="preserve">Имајући у виду одређену врсту и намену објекта, </w:t>
      </w:r>
      <w:r>
        <w:rPr>
          <w:szCs w:val="24"/>
        </w:rPr>
        <w:t xml:space="preserve">техничку </w:t>
      </w:r>
      <w:r w:rsidRPr="00BB795A">
        <w:rPr>
          <w:szCs w:val="24"/>
        </w:rPr>
        <w:t xml:space="preserve">специфичност </w:t>
      </w:r>
      <w:r>
        <w:rPr>
          <w:szCs w:val="24"/>
        </w:rPr>
        <w:t>објекта(гондоле као врсте жичаре</w:t>
      </w:r>
      <w:r w:rsidRPr="00BB795A">
        <w:rPr>
          <w:szCs w:val="24"/>
        </w:rPr>
        <w:t>,</w:t>
      </w:r>
      <w:r>
        <w:rPr>
          <w:szCs w:val="24"/>
        </w:rPr>
        <w:t xml:space="preserve"> као другог објекта тог типа који се гради на територији Републике Србије обзиром да је до сада изграђена само једна гондола и то на Старој планини)</w:t>
      </w:r>
      <w:r w:rsidRPr="00BB795A">
        <w:rPr>
          <w:szCs w:val="24"/>
        </w:rPr>
        <w:t xml:space="preserve"> и чињеницу да се гради у заштићеном природном добру</w:t>
      </w:r>
      <w:r>
        <w:rPr>
          <w:szCs w:val="24"/>
        </w:rPr>
        <w:t xml:space="preserve">,Наручилац полази од тога да само понуђач који има специфичне пословне, кадровске и техничке капацитете, може квалитетно извршити технички преглед у свему у складу са напред наведеним чл. 4. Правилника. </w:t>
      </w:r>
    </w:p>
    <w:p w:rsidR="00D31DB0" w:rsidRDefault="00F465F3" w:rsidP="00A95295">
      <w:pPr>
        <w:jc w:val="both"/>
      </w:pPr>
      <w:r>
        <w:br/>
      </w:r>
    </w:p>
    <w:p w:rsidR="00D31DB0" w:rsidRDefault="00D31DB0" w:rsidP="00A95295">
      <w:pPr>
        <w:jc w:val="both"/>
      </w:pPr>
    </w:p>
    <w:p w:rsidR="0039784D" w:rsidRDefault="007426B0" w:rsidP="00A95295">
      <w:pPr>
        <w:jc w:val="both"/>
      </w:pPr>
      <w:r>
        <w:lastRenderedPageBreak/>
        <w:t xml:space="preserve">Питање 2: </w:t>
      </w:r>
      <w:r w:rsidR="00D31DB0">
        <w:rPr>
          <w:spacing w:val="2"/>
        </w:rPr>
        <w:t>Да ли понуђач испуњава додатни услов ако има радно ангажовано лице  са лиценцом 333 или 433 које је у претходних 5 година од дана објављивања позива за подношење понуда  учествовало у извођењу радова, пројектовању или техничком прегледу на сличним објектима (висеће жичаре), а то исто лице је у списку под редним бројем 4. односно, да ли је то једно те исто лице, односно инжењер? </w:t>
      </w:r>
    </w:p>
    <w:p w:rsidR="007426B0" w:rsidRPr="007426B0" w:rsidRDefault="007426B0" w:rsidP="007426B0">
      <w:pPr>
        <w:jc w:val="both"/>
        <w:rPr>
          <w:szCs w:val="24"/>
        </w:rPr>
      </w:pPr>
    </w:p>
    <w:p w:rsidR="007426B0" w:rsidRDefault="0039784D" w:rsidP="00F465F3">
      <w:pPr>
        <w:jc w:val="both"/>
        <w:rPr>
          <w:szCs w:val="24"/>
        </w:rPr>
      </w:pPr>
      <w:r>
        <w:rPr>
          <w:szCs w:val="24"/>
        </w:rPr>
        <w:t xml:space="preserve">Одговор 2: </w:t>
      </w:r>
    </w:p>
    <w:p w:rsidR="007426B0" w:rsidRPr="00777923" w:rsidRDefault="00D31DB0" w:rsidP="00F465F3">
      <w:pPr>
        <w:pStyle w:val="ListParagraph"/>
        <w:widowControl/>
        <w:numPr>
          <w:ilvl w:val="0"/>
          <w:numId w:val="2"/>
        </w:numPr>
        <w:suppressAutoHyphens w:val="0"/>
        <w:spacing w:after="160" w:line="259" w:lineRule="auto"/>
        <w:jc w:val="both"/>
        <w:rPr>
          <w:szCs w:val="24"/>
        </w:rPr>
      </w:pPr>
      <w:r w:rsidRPr="00777923">
        <w:rPr>
          <w:szCs w:val="24"/>
        </w:rPr>
        <w:t>Да. То је једно исто лице односно инжењер са лиценцом 333 или 433.</w:t>
      </w:r>
      <w:r w:rsidR="000E35E6" w:rsidRPr="00777923">
        <w:rPr>
          <w:szCs w:val="24"/>
          <w:lang w:val="sr-Cyrl-CS"/>
        </w:rPr>
        <w:t xml:space="preserve"> </w:t>
      </w: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Default="00A95295" w:rsidP="00F465F3">
      <w:pPr>
        <w:jc w:val="both"/>
        <w:rPr>
          <w:szCs w:val="24"/>
        </w:rPr>
      </w:pPr>
    </w:p>
    <w:p w:rsidR="00A95295" w:rsidRPr="00A95295" w:rsidRDefault="00A95295" w:rsidP="00F465F3">
      <w:pPr>
        <w:jc w:val="both"/>
        <w:rPr>
          <w:szCs w:val="24"/>
        </w:rPr>
      </w:pPr>
    </w:p>
    <w:p w:rsidR="0039784D" w:rsidRPr="0039784D" w:rsidRDefault="0039784D" w:rsidP="001C33A1">
      <w:pPr>
        <w:jc w:val="both"/>
        <w:rPr>
          <w:szCs w:val="24"/>
        </w:rPr>
      </w:pPr>
    </w:p>
    <w:sectPr w:rsidR="0039784D" w:rsidRPr="0039784D" w:rsidSect="00B22CB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42" w:rsidRDefault="00651042" w:rsidP="001617C7">
      <w:r>
        <w:separator/>
      </w:r>
    </w:p>
  </w:endnote>
  <w:endnote w:type="continuationSeparator" w:id="1">
    <w:p w:rsidR="00651042" w:rsidRDefault="00651042" w:rsidP="00161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3891"/>
      <w:docPartObj>
        <w:docPartGallery w:val="Page Numbers (Bottom of Page)"/>
        <w:docPartUnique/>
      </w:docPartObj>
    </w:sdtPr>
    <w:sdtContent>
      <w:p w:rsidR="001617C7" w:rsidRDefault="00F2566A">
        <w:pPr>
          <w:pStyle w:val="Footer"/>
          <w:jc w:val="center"/>
        </w:pPr>
        <w:fldSimple w:instr=" PAGE   \* MERGEFORMAT ">
          <w:r w:rsidR="00777923">
            <w:rPr>
              <w:noProof/>
            </w:rPr>
            <w:t>2</w:t>
          </w:r>
        </w:fldSimple>
      </w:p>
    </w:sdtContent>
  </w:sdt>
  <w:p w:rsidR="001617C7" w:rsidRDefault="00161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42" w:rsidRDefault="00651042" w:rsidP="001617C7">
      <w:r>
        <w:separator/>
      </w:r>
    </w:p>
  </w:footnote>
  <w:footnote w:type="continuationSeparator" w:id="1">
    <w:p w:rsidR="00651042" w:rsidRDefault="00651042" w:rsidP="00161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B4937"/>
    <w:multiLevelType w:val="hybridMultilevel"/>
    <w:tmpl w:val="9ABCAF68"/>
    <w:lvl w:ilvl="0" w:tplc="809C42A8">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630A4748"/>
    <w:multiLevelType w:val="hybridMultilevel"/>
    <w:tmpl w:val="8FB489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C33A1"/>
    <w:rsid w:val="00022636"/>
    <w:rsid w:val="00023CAE"/>
    <w:rsid w:val="000A2AE8"/>
    <w:rsid w:val="000A71DC"/>
    <w:rsid w:val="000D23CB"/>
    <w:rsid w:val="000E0E53"/>
    <w:rsid w:val="000E35E6"/>
    <w:rsid w:val="00103E25"/>
    <w:rsid w:val="001102EB"/>
    <w:rsid w:val="0011166B"/>
    <w:rsid w:val="0011182B"/>
    <w:rsid w:val="0012266F"/>
    <w:rsid w:val="001254D8"/>
    <w:rsid w:val="001617C7"/>
    <w:rsid w:val="00161B53"/>
    <w:rsid w:val="00170672"/>
    <w:rsid w:val="00171988"/>
    <w:rsid w:val="001842FC"/>
    <w:rsid w:val="001C33A1"/>
    <w:rsid w:val="001C3742"/>
    <w:rsid w:val="001C78F4"/>
    <w:rsid w:val="001D08C5"/>
    <w:rsid w:val="00202840"/>
    <w:rsid w:val="00236733"/>
    <w:rsid w:val="0025073D"/>
    <w:rsid w:val="0025650C"/>
    <w:rsid w:val="002615A4"/>
    <w:rsid w:val="00284CCE"/>
    <w:rsid w:val="002850F4"/>
    <w:rsid w:val="00295607"/>
    <w:rsid w:val="002A1D4A"/>
    <w:rsid w:val="002F6903"/>
    <w:rsid w:val="0030474E"/>
    <w:rsid w:val="00355EE4"/>
    <w:rsid w:val="00361AD9"/>
    <w:rsid w:val="003971A9"/>
    <w:rsid w:val="0039784D"/>
    <w:rsid w:val="003A6300"/>
    <w:rsid w:val="003C6F4C"/>
    <w:rsid w:val="003D1198"/>
    <w:rsid w:val="003D3568"/>
    <w:rsid w:val="00457D3A"/>
    <w:rsid w:val="00466B96"/>
    <w:rsid w:val="004714E0"/>
    <w:rsid w:val="00490A64"/>
    <w:rsid w:val="004A7476"/>
    <w:rsid w:val="004C2802"/>
    <w:rsid w:val="004D68D7"/>
    <w:rsid w:val="004F28F1"/>
    <w:rsid w:val="00527DF3"/>
    <w:rsid w:val="00556F76"/>
    <w:rsid w:val="00561AFF"/>
    <w:rsid w:val="005A023A"/>
    <w:rsid w:val="005C4C9E"/>
    <w:rsid w:val="005E480D"/>
    <w:rsid w:val="005F6051"/>
    <w:rsid w:val="006359FE"/>
    <w:rsid w:val="00646AB1"/>
    <w:rsid w:val="006501FD"/>
    <w:rsid w:val="00651042"/>
    <w:rsid w:val="006511B9"/>
    <w:rsid w:val="006642ED"/>
    <w:rsid w:val="00672519"/>
    <w:rsid w:val="006831EB"/>
    <w:rsid w:val="00696E36"/>
    <w:rsid w:val="006A1FAD"/>
    <w:rsid w:val="006A4B58"/>
    <w:rsid w:val="006B2345"/>
    <w:rsid w:val="006C59B0"/>
    <w:rsid w:val="006E03F4"/>
    <w:rsid w:val="00717DB6"/>
    <w:rsid w:val="00725E54"/>
    <w:rsid w:val="0073674B"/>
    <w:rsid w:val="00740140"/>
    <w:rsid w:val="007426B0"/>
    <w:rsid w:val="0076559A"/>
    <w:rsid w:val="00777923"/>
    <w:rsid w:val="00794C3C"/>
    <w:rsid w:val="007E1D55"/>
    <w:rsid w:val="007E5F42"/>
    <w:rsid w:val="007F5AC6"/>
    <w:rsid w:val="007F7BD6"/>
    <w:rsid w:val="00821CFF"/>
    <w:rsid w:val="0086164F"/>
    <w:rsid w:val="008741CC"/>
    <w:rsid w:val="0088493D"/>
    <w:rsid w:val="008960DE"/>
    <w:rsid w:val="008A46B7"/>
    <w:rsid w:val="008B087C"/>
    <w:rsid w:val="008C5F28"/>
    <w:rsid w:val="008F23A8"/>
    <w:rsid w:val="008F7937"/>
    <w:rsid w:val="00914208"/>
    <w:rsid w:val="00932F1E"/>
    <w:rsid w:val="00934D8C"/>
    <w:rsid w:val="009D4168"/>
    <w:rsid w:val="009E7A3B"/>
    <w:rsid w:val="00A6191B"/>
    <w:rsid w:val="00A61982"/>
    <w:rsid w:val="00A63AB9"/>
    <w:rsid w:val="00A64EB0"/>
    <w:rsid w:val="00A677E6"/>
    <w:rsid w:val="00A95295"/>
    <w:rsid w:val="00AB676E"/>
    <w:rsid w:val="00AB71D8"/>
    <w:rsid w:val="00AC16AD"/>
    <w:rsid w:val="00AC4564"/>
    <w:rsid w:val="00AD1CC2"/>
    <w:rsid w:val="00B015B9"/>
    <w:rsid w:val="00B01639"/>
    <w:rsid w:val="00B026C8"/>
    <w:rsid w:val="00B22CB8"/>
    <w:rsid w:val="00B529FC"/>
    <w:rsid w:val="00B97456"/>
    <w:rsid w:val="00BD1896"/>
    <w:rsid w:val="00BE1C56"/>
    <w:rsid w:val="00BF311E"/>
    <w:rsid w:val="00C2001F"/>
    <w:rsid w:val="00C33A1B"/>
    <w:rsid w:val="00C36262"/>
    <w:rsid w:val="00C41CC7"/>
    <w:rsid w:val="00C7057B"/>
    <w:rsid w:val="00C93DFC"/>
    <w:rsid w:val="00CA1A2D"/>
    <w:rsid w:val="00CD4CDC"/>
    <w:rsid w:val="00D100DF"/>
    <w:rsid w:val="00D24054"/>
    <w:rsid w:val="00D31DB0"/>
    <w:rsid w:val="00D37067"/>
    <w:rsid w:val="00D61947"/>
    <w:rsid w:val="00D70ED2"/>
    <w:rsid w:val="00DA08BC"/>
    <w:rsid w:val="00DB0D77"/>
    <w:rsid w:val="00DB3C50"/>
    <w:rsid w:val="00DD38F3"/>
    <w:rsid w:val="00DE62AE"/>
    <w:rsid w:val="00E1030B"/>
    <w:rsid w:val="00E21501"/>
    <w:rsid w:val="00E25614"/>
    <w:rsid w:val="00E25C01"/>
    <w:rsid w:val="00E30751"/>
    <w:rsid w:val="00E60984"/>
    <w:rsid w:val="00E83739"/>
    <w:rsid w:val="00E841C9"/>
    <w:rsid w:val="00EA6706"/>
    <w:rsid w:val="00F2566A"/>
    <w:rsid w:val="00F37744"/>
    <w:rsid w:val="00F37D9A"/>
    <w:rsid w:val="00F465F3"/>
    <w:rsid w:val="00F5249E"/>
    <w:rsid w:val="00F625F5"/>
    <w:rsid w:val="00F71D70"/>
    <w:rsid w:val="00F75CEF"/>
    <w:rsid w:val="00F80B84"/>
    <w:rsid w:val="00F84D45"/>
    <w:rsid w:val="00FA7D9A"/>
    <w:rsid w:val="00FC64C6"/>
    <w:rsid w:val="00FD76B3"/>
    <w:rsid w:val="00FE3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 w:type="paragraph" w:styleId="Header">
    <w:name w:val="header"/>
    <w:basedOn w:val="Normal"/>
    <w:link w:val="HeaderChar"/>
    <w:uiPriority w:val="99"/>
    <w:semiHidden/>
    <w:unhideWhenUsed/>
    <w:rsid w:val="001617C7"/>
    <w:pPr>
      <w:tabs>
        <w:tab w:val="center" w:pos="4680"/>
        <w:tab w:val="right" w:pos="9360"/>
      </w:tabs>
    </w:pPr>
  </w:style>
  <w:style w:type="character" w:customStyle="1" w:styleId="HeaderChar">
    <w:name w:val="Header Char"/>
    <w:basedOn w:val="DefaultParagraphFont"/>
    <w:link w:val="Header"/>
    <w:uiPriority w:val="99"/>
    <w:semiHidden/>
    <w:rsid w:val="001617C7"/>
    <w:rPr>
      <w:rFonts w:ascii="Times New Roman" w:eastAsia="Lucida Sans Unicode" w:hAnsi="Times New Roman" w:cs="Times New Roman"/>
      <w:sz w:val="24"/>
      <w:szCs w:val="20"/>
    </w:rPr>
  </w:style>
  <w:style w:type="paragraph" w:styleId="Footer">
    <w:name w:val="footer"/>
    <w:basedOn w:val="Normal"/>
    <w:link w:val="FooterChar"/>
    <w:uiPriority w:val="99"/>
    <w:unhideWhenUsed/>
    <w:rsid w:val="001617C7"/>
    <w:pPr>
      <w:tabs>
        <w:tab w:val="center" w:pos="4680"/>
        <w:tab w:val="right" w:pos="9360"/>
      </w:tabs>
    </w:pPr>
  </w:style>
  <w:style w:type="character" w:customStyle="1" w:styleId="FooterChar">
    <w:name w:val="Footer Char"/>
    <w:basedOn w:val="DefaultParagraphFont"/>
    <w:link w:val="Footer"/>
    <w:uiPriority w:val="99"/>
    <w:rsid w:val="001617C7"/>
    <w:rPr>
      <w:rFonts w:ascii="Times New Roman" w:eastAsia="Lucida Sans Unicode" w:hAnsi="Times New Roman" w:cs="Times New Roman"/>
      <w:sz w:val="24"/>
      <w:szCs w:val="20"/>
    </w:rPr>
  </w:style>
  <w:style w:type="paragraph" w:styleId="ListParagraph">
    <w:name w:val="List Paragraph"/>
    <w:basedOn w:val="Normal"/>
    <w:uiPriority w:val="34"/>
    <w:qFormat/>
    <w:rsid w:val="00556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lang w:val="en-US"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s>
</file>

<file path=word/webSettings.xml><?xml version="1.0" encoding="utf-8"?>
<w:webSettings xmlns:r="http://schemas.openxmlformats.org/officeDocument/2006/relationships" xmlns:w="http://schemas.openxmlformats.org/wordprocessingml/2006/main">
  <w:divs>
    <w:div w:id="5551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480</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JN OU Cajetina</cp:lastModifiedBy>
  <cp:revision>52</cp:revision>
  <cp:lastPrinted>2019-12-26T09:43:00Z</cp:lastPrinted>
  <dcterms:created xsi:type="dcterms:W3CDTF">2014-04-14T05:20:00Z</dcterms:created>
  <dcterms:modified xsi:type="dcterms:W3CDTF">2020-03-05T14:00:00Z</dcterms:modified>
</cp:coreProperties>
</file>